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jc w:val="center"/>
        <w:rPr>
          <w:rFonts w:ascii="Times New Roman" w:hAnsi="Times New Roman" w:cs="Times New Roman"/>
          <w:sz w:val="24"/>
          <w:szCs w:val="24"/>
        </w:rPr>
      </w:pPr>
    </w:p>
    <w:p w:rsidR="00A52CDD" w:rsidRPr="00743EA7" w:rsidRDefault="00A52CDD" w:rsidP="00A52C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Critical Review of an</w:t>
      </w:r>
      <w:r w:rsidRPr="00743EA7">
        <w:rPr>
          <w:rFonts w:ascii="Times New Roman" w:hAnsi="Times New Roman" w:cs="Times New Roman"/>
          <w:sz w:val="24"/>
          <w:szCs w:val="24"/>
        </w:rPr>
        <w:t xml:space="preserve"> Article</w:t>
      </w:r>
    </w:p>
    <w:p w:rsidR="00A52CDD" w:rsidRDefault="00A52CDD" w:rsidP="00A52C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52CDD" w:rsidRDefault="00A52CDD" w:rsidP="00A52C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743EA7" w:rsidRPr="00743EA7" w:rsidRDefault="00A52CDD" w:rsidP="00A52C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Critical Review of an</w:t>
      </w:r>
      <w:bookmarkStart w:id="0" w:name="_GoBack"/>
      <w:bookmarkEnd w:id="0"/>
      <w:r w:rsidR="00743EA7" w:rsidRPr="00743EA7">
        <w:rPr>
          <w:rFonts w:ascii="Times New Roman" w:hAnsi="Times New Roman" w:cs="Times New Roman"/>
          <w:sz w:val="24"/>
          <w:szCs w:val="24"/>
        </w:rPr>
        <w:t xml:space="preserve"> Article</w:t>
      </w:r>
    </w:p>
    <w:p w:rsidR="00743EA7" w:rsidRPr="00743EA7" w:rsidRDefault="00743EA7" w:rsidP="00743EA7">
      <w:pPr>
        <w:spacing w:after="0" w:line="480" w:lineRule="auto"/>
        <w:ind w:firstLine="720"/>
        <w:rPr>
          <w:rFonts w:ascii="Times New Roman" w:hAnsi="Times New Roman" w:cs="Times New Roman"/>
          <w:sz w:val="24"/>
          <w:szCs w:val="24"/>
        </w:rPr>
      </w:pPr>
      <w:r w:rsidRPr="00743EA7">
        <w:rPr>
          <w:rFonts w:ascii="Times New Roman" w:hAnsi="Times New Roman" w:cs="Times New Roman"/>
          <w:sz w:val="24"/>
          <w:szCs w:val="24"/>
        </w:rPr>
        <w:t>Organizations that thrive have one thing in common, excellent customer service. The article “The Ottawa Way Thrives” explains effective customer service strategies that have been adopted by more than 33 areas in Ottawa and have resulted in significant improvement in organizational performance. It makes an enormous difference when a government institution adopts a customer-based service approach. This article explains how Ottawa County is using a customer-based strategy to attract more investors and tourists, which all improve their revenue income. Through its customer-service initiative, the government of Ottawa created a training that identified various accomplishments and steps aimed at enhancing their performance as a county.</w:t>
      </w:r>
    </w:p>
    <w:p w:rsidR="00743EA7" w:rsidRPr="00743EA7" w:rsidRDefault="00743EA7" w:rsidP="00743EA7">
      <w:pPr>
        <w:spacing w:after="0" w:line="480" w:lineRule="auto"/>
        <w:ind w:firstLine="720"/>
        <w:rPr>
          <w:rFonts w:ascii="Times New Roman" w:hAnsi="Times New Roman" w:cs="Times New Roman"/>
          <w:sz w:val="24"/>
          <w:szCs w:val="24"/>
        </w:rPr>
      </w:pPr>
      <w:r w:rsidRPr="00743EA7">
        <w:rPr>
          <w:rFonts w:ascii="Times New Roman" w:hAnsi="Times New Roman" w:cs="Times New Roman"/>
          <w:sz w:val="24"/>
          <w:szCs w:val="24"/>
        </w:rPr>
        <w:t xml:space="preserve">Ottawa’s customer service initiative was created in 2012 with leaders from 33 departments from government offices, courts, and agencies that make up the county. According to Vanderberg and Capodagli (2015), this training initiative identified various plans and created an implementation plan that was completed in January 2014. The Ottawa way has been embraced since its completion by various departments because of its effectiveness in helping in the governance and running of the county. This initiative also enhances the coordination of the county operations. For example, Vanderberg and Capodagli (2015) explains that through this initiative, the county sheriff’s department has been issuing tickets to motorist easily, public health department’s restaurant has also received more customer service nominations after heavy criticism for the last three years, and businesses’ relationship with the government has also significantly improved due to good relations. Therefore, the Ottawa way initiative of focusing on customers is significantly changing the face of the county and the way things used to be done. </w:t>
      </w:r>
    </w:p>
    <w:p w:rsidR="00743EA7" w:rsidRPr="00743EA7" w:rsidRDefault="00743EA7" w:rsidP="00743EA7">
      <w:pPr>
        <w:spacing w:after="0" w:line="480" w:lineRule="auto"/>
        <w:ind w:firstLine="720"/>
        <w:rPr>
          <w:rFonts w:ascii="Times New Roman" w:hAnsi="Times New Roman" w:cs="Times New Roman"/>
          <w:sz w:val="24"/>
          <w:szCs w:val="24"/>
        </w:rPr>
      </w:pPr>
      <w:r w:rsidRPr="00743EA7">
        <w:rPr>
          <w:rFonts w:ascii="Times New Roman" w:hAnsi="Times New Roman" w:cs="Times New Roman"/>
          <w:sz w:val="24"/>
          <w:szCs w:val="24"/>
        </w:rPr>
        <w:t xml:space="preserve">The article further explains the importance of communication in strategic planning. According to the authors, many organizations are not in good relationship with the government </w:t>
      </w:r>
      <w:r w:rsidRPr="00743EA7">
        <w:rPr>
          <w:rFonts w:ascii="Times New Roman" w:hAnsi="Times New Roman" w:cs="Times New Roman"/>
          <w:sz w:val="24"/>
          <w:szCs w:val="24"/>
        </w:rPr>
        <w:lastRenderedPageBreak/>
        <w:t xml:space="preserve">agencies and the government itself because the only answer that the government can give is “no,” it can never say “yes” (Vanderberg &amp; Capodagli, 2015). However, the authors further assert that the answer is not “yes” or “no,” but relationships depend on the way one party treats the other and vise versa. In this case, communication becomes a significant part of the relationship. Most problems in organizations are caused by communication break-down. One party may feel superior and sees that there is no need to pass information to the superior. That is how things start getting bad, and it can affect relationships. Most participants claimed that lack of trust, poor communication, and little feedback were main concerns in the county’s relationship with other agencies or organizations. </w:t>
      </w:r>
    </w:p>
    <w:p w:rsidR="00743EA7" w:rsidRPr="00743EA7" w:rsidRDefault="00743EA7" w:rsidP="00743EA7">
      <w:pPr>
        <w:spacing w:after="0" w:line="480" w:lineRule="auto"/>
        <w:ind w:firstLine="720"/>
        <w:rPr>
          <w:rFonts w:ascii="Times New Roman" w:hAnsi="Times New Roman" w:cs="Times New Roman"/>
          <w:sz w:val="24"/>
          <w:szCs w:val="24"/>
        </w:rPr>
      </w:pPr>
      <w:r w:rsidRPr="00743EA7">
        <w:rPr>
          <w:rFonts w:ascii="Times New Roman" w:hAnsi="Times New Roman" w:cs="Times New Roman"/>
          <w:sz w:val="24"/>
          <w:szCs w:val="24"/>
        </w:rPr>
        <w:t xml:space="preserve">In strategic planning, every concerned party is required to be actively involved to ensure that all concerns are taken into consideration before beginning the implementation step.  This article highlights the importance of communication in this process through the “leadership challenge” training step. In this step, the authors claim that it is important for leaders to get feedback from their teams and engage them in every process (Vanderberg &amp; Capodagli, 2015). In some organizations, leaders assume that their decision is final, but this is wrong because no one can be entirely right about something. Leadership challenge storyboard discussed what an ultimate leader is required to do, which includes giving other people opportunities to assess the situation and come up with an opinion. A good leader listens to the views of others because it contributes to effective decision making. </w:t>
      </w:r>
    </w:p>
    <w:p w:rsidR="00743EA7" w:rsidRPr="00743EA7" w:rsidRDefault="00743EA7" w:rsidP="00743EA7">
      <w:pPr>
        <w:spacing w:after="0" w:line="480" w:lineRule="auto"/>
        <w:ind w:firstLine="720"/>
        <w:rPr>
          <w:rFonts w:ascii="Times New Roman" w:hAnsi="Times New Roman" w:cs="Times New Roman"/>
          <w:sz w:val="24"/>
          <w:szCs w:val="24"/>
        </w:rPr>
      </w:pPr>
      <w:r w:rsidRPr="00743EA7">
        <w:rPr>
          <w:rFonts w:ascii="Times New Roman" w:hAnsi="Times New Roman" w:cs="Times New Roman"/>
          <w:sz w:val="24"/>
          <w:szCs w:val="24"/>
        </w:rPr>
        <w:t xml:space="preserve">In conclusion, excellent customer-service ranges from good leadership to effective team building. This article highlighted the key roles of leadership that can help improve the organization’s performance through a customer-centric approach. Leaders are expected to be humble and understanding; this means that they are supposed to listen to others and their views. </w:t>
      </w:r>
      <w:r w:rsidRPr="00743EA7">
        <w:rPr>
          <w:rFonts w:ascii="Times New Roman" w:hAnsi="Times New Roman" w:cs="Times New Roman"/>
          <w:sz w:val="24"/>
          <w:szCs w:val="24"/>
        </w:rPr>
        <w:lastRenderedPageBreak/>
        <w:t>This will help identify areas of improvement and opportunities in the organization. The Ottawa way initiative is thriving because it involves all the above concepts of an effective customer-centric service strategy.</w:t>
      </w:r>
    </w:p>
    <w:p w:rsidR="00743EA7" w:rsidRPr="00743EA7" w:rsidRDefault="00743EA7" w:rsidP="00743EA7">
      <w:pPr>
        <w:spacing w:after="0" w:line="480" w:lineRule="auto"/>
        <w:ind w:firstLine="720"/>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A52CDD" w:rsidRDefault="00A52CDD" w:rsidP="00A52CDD">
      <w:pPr>
        <w:spacing w:after="0" w:line="480" w:lineRule="auto"/>
        <w:rPr>
          <w:rFonts w:ascii="Times New Roman" w:hAnsi="Times New Roman" w:cs="Times New Roman"/>
          <w:sz w:val="24"/>
          <w:szCs w:val="24"/>
        </w:rPr>
      </w:pPr>
    </w:p>
    <w:p w:rsidR="00743EA7" w:rsidRPr="00743EA7" w:rsidRDefault="00743EA7" w:rsidP="00A52CDD">
      <w:pPr>
        <w:spacing w:after="0" w:line="480" w:lineRule="auto"/>
        <w:jc w:val="center"/>
        <w:rPr>
          <w:rFonts w:ascii="Times New Roman" w:hAnsi="Times New Roman" w:cs="Times New Roman"/>
          <w:sz w:val="24"/>
          <w:szCs w:val="24"/>
        </w:rPr>
      </w:pPr>
      <w:r w:rsidRPr="00743EA7">
        <w:rPr>
          <w:rFonts w:ascii="Times New Roman" w:hAnsi="Times New Roman" w:cs="Times New Roman"/>
          <w:sz w:val="24"/>
          <w:szCs w:val="24"/>
        </w:rPr>
        <w:lastRenderedPageBreak/>
        <w:t>Reference</w:t>
      </w:r>
    </w:p>
    <w:p w:rsidR="00743EA7" w:rsidRPr="00743EA7" w:rsidRDefault="00743EA7" w:rsidP="00A52CDD">
      <w:pPr>
        <w:spacing w:after="0" w:line="480" w:lineRule="auto"/>
        <w:ind w:left="720" w:hanging="720"/>
        <w:rPr>
          <w:rFonts w:ascii="Times New Roman" w:hAnsi="Times New Roman" w:cs="Times New Roman"/>
          <w:sz w:val="24"/>
          <w:szCs w:val="24"/>
        </w:rPr>
      </w:pPr>
      <w:r w:rsidRPr="00743EA7">
        <w:rPr>
          <w:rFonts w:ascii="Times New Roman" w:hAnsi="Times New Roman" w:cs="Times New Roman"/>
          <w:color w:val="222222"/>
          <w:sz w:val="24"/>
          <w:szCs w:val="24"/>
          <w:shd w:val="clear" w:color="auto" w:fill="FFFFFF"/>
        </w:rPr>
        <w:t>Vanderberg, A., &amp; Capodagl</w:t>
      </w:r>
      <w:r w:rsidR="00A52CDD">
        <w:rPr>
          <w:rFonts w:ascii="Times New Roman" w:hAnsi="Times New Roman" w:cs="Times New Roman"/>
          <w:color w:val="222222"/>
          <w:sz w:val="24"/>
          <w:szCs w:val="24"/>
          <w:shd w:val="clear" w:color="auto" w:fill="FFFFFF"/>
        </w:rPr>
        <w:t>i, B. (2015). The "Ottawa Way" T</w:t>
      </w:r>
      <w:r w:rsidRPr="00743EA7">
        <w:rPr>
          <w:rFonts w:ascii="Times New Roman" w:hAnsi="Times New Roman" w:cs="Times New Roman"/>
          <w:color w:val="222222"/>
          <w:sz w:val="24"/>
          <w:szCs w:val="24"/>
          <w:shd w:val="clear" w:color="auto" w:fill="FFFFFF"/>
        </w:rPr>
        <w:t xml:space="preserve">hrives. </w:t>
      </w:r>
      <w:r w:rsidRPr="00743EA7">
        <w:rPr>
          <w:rFonts w:ascii="Times New Roman" w:hAnsi="Times New Roman" w:cs="Times New Roman"/>
          <w:i/>
          <w:color w:val="222222"/>
          <w:sz w:val="24"/>
          <w:szCs w:val="24"/>
          <w:shd w:val="clear" w:color="auto" w:fill="FFFFFF"/>
        </w:rPr>
        <w:t>Public Management</w:t>
      </w:r>
      <w:r w:rsidRPr="00743EA7">
        <w:rPr>
          <w:rFonts w:ascii="Times New Roman" w:hAnsi="Times New Roman" w:cs="Times New Roman"/>
          <w:color w:val="222222"/>
          <w:sz w:val="24"/>
          <w:szCs w:val="24"/>
          <w:shd w:val="clear" w:color="auto" w:fill="FFFFFF"/>
        </w:rPr>
        <w:t>, 97(6), 14-18.</w:t>
      </w:r>
    </w:p>
    <w:sectPr w:rsidR="00743EA7" w:rsidRPr="00743EA7" w:rsidSect="00A52C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BD3" w:rsidRDefault="00843BD3" w:rsidP="00A52CDD">
      <w:pPr>
        <w:spacing w:after="0" w:line="240" w:lineRule="auto"/>
      </w:pPr>
      <w:r>
        <w:separator/>
      </w:r>
    </w:p>
  </w:endnote>
  <w:endnote w:type="continuationSeparator" w:id="0">
    <w:p w:rsidR="00843BD3" w:rsidRDefault="00843BD3" w:rsidP="00A52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BD3" w:rsidRDefault="00843BD3" w:rsidP="00A52CDD">
      <w:pPr>
        <w:spacing w:after="0" w:line="240" w:lineRule="auto"/>
      </w:pPr>
      <w:r>
        <w:separator/>
      </w:r>
    </w:p>
  </w:footnote>
  <w:footnote w:type="continuationSeparator" w:id="0">
    <w:p w:rsidR="00843BD3" w:rsidRDefault="00843BD3" w:rsidP="00A52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CDD" w:rsidRDefault="00A52CDD">
    <w:pPr>
      <w:pStyle w:val="Header"/>
    </w:pPr>
    <w:r w:rsidRPr="00A52CDD">
      <w:rPr>
        <w:rFonts w:ascii="Times New Roman" w:hAnsi="Times New Roman" w:cs="Times New Roman"/>
        <w:sz w:val="24"/>
        <w:szCs w:val="24"/>
      </w:rPr>
      <w:t xml:space="preserve">CRITICAL REVIEW </w:t>
    </w:r>
    <w:r w:rsidRPr="00A52CDD">
      <w:rPr>
        <w:rFonts w:ascii="Times New Roman" w:hAnsi="Times New Roman" w:cs="Times New Roman"/>
        <w:sz w:val="24"/>
        <w:szCs w:val="24"/>
      </w:rPr>
      <w:tab/>
    </w:r>
    <w:r w:rsidRPr="00A52CDD">
      <w:rPr>
        <w:rFonts w:ascii="Times New Roman" w:hAnsi="Times New Roman" w:cs="Times New Roman"/>
        <w:sz w:val="24"/>
        <w:szCs w:val="24"/>
      </w:rPr>
      <w:tab/>
    </w:r>
    <w:r w:rsidRPr="00A52CDD">
      <w:rPr>
        <w:rFonts w:ascii="Times New Roman" w:hAnsi="Times New Roman" w:cs="Times New Roman"/>
        <w:sz w:val="24"/>
        <w:szCs w:val="24"/>
      </w:rPr>
      <w:fldChar w:fldCharType="begin"/>
    </w:r>
    <w:r w:rsidRPr="00A52CDD">
      <w:rPr>
        <w:rFonts w:ascii="Times New Roman" w:hAnsi="Times New Roman" w:cs="Times New Roman"/>
        <w:sz w:val="24"/>
        <w:szCs w:val="24"/>
      </w:rPr>
      <w:instrText xml:space="preserve"> PAGE   \* MERGEFORMAT </w:instrText>
    </w:r>
    <w:r w:rsidRPr="00A52CDD">
      <w:rPr>
        <w:rFonts w:ascii="Times New Roman" w:hAnsi="Times New Roman" w:cs="Times New Roman"/>
        <w:sz w:val="24"/>
        <w:szCs w:val="24"/>
      </w:rPr>
      <w:fldChar w:fldCharType="separate"/>
    </w:r>
    <w:r>
      <w:rPr>
        <w:rFonts w:ascii="Times New Roman" w:hAnsi="Times New Roman" w:cs="Times New Roman"/>
        <w:noProof/>
        <w:sz w:val="24"/>
        <w:szCs w:val="24"/>
      </w:rPr>
      <w:t>2</w:t>
    </w:r>
    <w:r w:rsidRPr="00A52CD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CDD" w:rsidRPr="00A52CDD" w:rsidRDefault="00A52CDD">
    <w:pPr>
      <w:pStyle w:val="Header"/>
      <w:rPr>
        <w:rFonts w:ascii="Times New Roman" w:hAnsi="Times New Roman" w:cs="Times New Roman"/>
        <w:sz w:val="24"/>
        <w:szCs w:val="24"/>
      </w:rPr>
    </w:pPr>
    <w:r w:rsidRPr="00A52CDD">
      <w:rPr>
        <w:rFonts w:ascii="Times New Roman" w:hAnsi="Times New Roman" w:cs="Times New Roman"/>
        <w:sz w:val="24"/>
        <w:szCs w:val="24"/>
      </w:rPr>
      <w:t xml:space="preserve">Running head: CRITICAL REVIEW </w:t>
    </w:r>
    <w:r w:rsidRPr="00A52CDD">
      <w:rPr>
        <w:rFonts w:ascii="Times New Roman" w:hAnsi="Times New Roman" w:cs="Times New Roman"/>
        <w:sz w:val="24"/>
        <w:szCs w:val="24"/>
      </w:rPr>
      <w:tab/>
    </w:r>
    <w:r w:rsidRPr="00A52CDD">
      <w:rPr>
        <w:rFonts w:ascii="Times New Roman" w:hAnsi="Times New Roman" w:cs="Times New Roman"/>
        <w:sz w:val="24"/>
        <w:szCs w:val="24"/>
      </w:rPr>
      <w:tab/>
    </w:r>
    <w:r w:rsidRPr="00A52CDD">
      <w:rPr>
        <w:rFonts w:ascii="Times New Roman" w:hAnsi="Times New Roman" w:cs="Times New Roman"/>
        <w:sz w:val="24"/>
        <w:szCs w:val="24"/>
      </w:rPr>
      <w:fldChar w:fldCharType="begin"/>
    </w:r>
    <w:r w:rsidRPr="00A52CDD">
      <w:rPr>
        <w:rFonts w:ascii="Times New Roman" w:hAnsi="Times New Roman" w:cs="Times New Roman"/>
        <w:sz w:val="24"/>
        <w:szCs w:val="24"/>
      </w:rPr>
      <w:instrText xml:space="preserve"> PAGE   \* MERGEFORMAT </w:instrText>
    </w:r>
    <w:r w:rsidRPr="00A52CDD">
      <w:rPr>
        <w:rFonts w:ascii="Times New Roman" w:hAnsi="Times New Roman" w:cs="Times New Roman"/>
        <w:sz w:val="24"/>
        <w:szCs w:val="24"/>
      </w:rPr>
      <w:fldChar w:fldCharType="separate"/>
    </w:r>
    <w:r>
      <w:rPr>
        <w:rFonts w:ascii="Times New Roman" w:hAnsi="Times New Roman" w:cs="Times New Roman"/>
        <w:noProof/>
        <w:sz w:val="24"/>
        <w:szCs w:val="24"/>
      </w:rPr>
      <w:t>1</w:t>
    </w:r>
    <w:r w:rsidRPr="00A52CD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20D"/>
    <w:rsid w:val="001C320D"/>
    <w:rsid w:val="00743EA7"/>
    <w:rsid w:val="00843BD3"/>
    <w:rsid w:val="00A52CDD"/>
    <w:rsid w:val="00A63E49"/>
    <w:rsid w:val="00C53C2D"/>
    <w:rsid w:val="00C85B9F"/>
    <w:rsid w:val="00DD17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CDD"/>
  </w:style>
  <w:style w:type="paragraph" w:styleId="Footer">
    <w:name w:val="footer"/>
    <w:basedOn w:val="Normal"/>
    <w:link w:val="FooterChar"/>
    <w:uiPriority w:val="99"/>
    <w:unhideWhenUsed/>
    <w:rsid w:val="00A52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C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CDD"/>
  </w:style>
  <w:style w:type="paragraph" w:styleId="Footer">
    <w:name w:val="footer"/>
    <w:basedOn w:val="Normal"/>
    <w:link w:val="FooterChar"/>
    <w:uiPriority w:val="99"/>
    <w:unhideWhenUsed/>
    <w:rsid w:val="00A52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2020-03-03T06:19:00Z</dcterms:created>
  <dcterms:modified xsi:type="dcterms:W3CDTF">2020-03-03T07:21:00Z</dcterms:modified>
</cp:coreProperties>
</file>